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955F4" w14:textId="77777777" w:rsidR="0003255F" w:rsidRPr="008E572A" w:rsidRDefault="0003255F" w:rsidP="00202418">
      <w:pPr>
        <w:pStyle w:val="1"/>
        <w:numPr>
          <w:ilvl w:val="0"/>
          <w:numId w:val="0"/>
        </w:numPr>
        <w:spacing w:line="480" w:lineRule="auto"/>
      </w:pPr>
      <w:r w:rsidRPr="008E572A">
        <w:rPr>
          <w:rFonts w:eastAsiaTheme="minorEastAsia"/>
          <w:i/>
        </w:rPr>
        <w:t>Supplementary Figures and Tables legends</w:t>
      </w:r>
      <w:bookmarkStart w:id="0" w:name="_GoBack"/>
      <w:bookmarkEnd w:id="0"/>
    </w:p>
    <w:p w14:paraId="41654E27" w14:textId="38CDEC27" w:rsidR="00D36B44" w:rsidRPr="008E572A" w:rsidRDefault="00D36B44" w:rsidP="00202418">
      <w:pPr>
        <w:pStyle w:val="1"/>
        <w:numPr>
          <w:ilvl w:val="0"/>
          <w:numId w:val="21"/>
        </w:numPr>
        <w:spacing w:line="480" w:lineRule="auto"/>
      </w:pPr>
      <w:r w:rsidRPr="008E572A">
        <w:t>Supplementary Figures</w:t>
      </w:r>
      <w:r w:rsidR="00654E8F" w:rsidRPr="008E572A">
        <w:t xml:space="preserve"> </w:t>
      </w:r>
    </w:p>
    <w:p w14:paraId="384C6E91" w14:textId="7967D5B8" w:rsidR="00D36B44" w:rsidRPr="008E572A" w:rsidRDefault="00D36B44" w:rsidP="00202418">
      <w:pPr>
        <w:pStyle w:val="1"/>
        <w:numPr>
          <w:ilvl w:val="0"/>
          <w:numId w:val="0"/>
        </w:numPr>
        <w:spacing w:line="480" w:lineRule="auto"/>
        <w:rPr>
          <w:b w:val="0"/>
        </w:rPr>
      </w:pPr>
      <w:r w:rsidRPr="008E572A">
        <w:t xml:space="preserve">Figure </w:t>
      </w:r>
      <w:r w:rsidR="009C2C99" w:rsidRPr="008E572A">
        <w:t>S</w:t>
      </w:r>
      <w:r w:rsidRPr="008E572A">
        <w:t>1.</w:t>
      </w:r>
      <w:r w:rsidRPr="008E572A">
        <w:rPr>
          <w:b w:val="0"/>
        </w:rPr>
        <w:t xml:space="preserve"> The flow chart of this study.</w:t>
      </w:r>
    </w:p>
    <w:p w14:paraId="387BC197" w14:textId="1F7EFDF0" w:rsidR="00390943" w:rsidRPr="008E572A" w:rsidRDefault="00D36B44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Figure S2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A consensus clustering algorithm to categorize the patients with PC from ICGC cohort based on the expression profiles of the 10 CGs. </w:t>
      </w:r>
    </w:p>
    <w:p w14:paraId="7EBE8E53" w14:textId="65E0B108" w:rsidR="00390943" w:rsidRPr="008E572A" w:rsidRDefault="00D36B44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Figure S3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The LASSO Cox regression model for identifying the most robust markers.</w:t>
      </w:r>
    </w:p>
    <w:p w14:paraId="306D213D" w14:textId="77F47FBB" w:rsidR="00A42BA4" w:rsidRPr="008E572A" w:rsidRDefault="00D36B44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Figure S4</w:t>
      </w:r>
      <w:r w:rsidR="00A42BA4" w:rsidRPr="008E572A">
        <w:rPr>
          <w:b/>
          <w:szCs w:val="24"/>
        </w:rPr>
        <w:t>.</w:t>
      </w:r>
      <w:r w:rsidR="00A42BA4" w:rsidRPr="008E572A">
        <w:rPr>
          <w:szCs w:val="24"/>
        </w:rPr>
        <w:t xml:space="preserve"> </w:t>
      </w:r>
      <w:r w:rsidR="005C3FA4" w:rsidRPr="008E572A">
        <w:rPr>
          <w:szCs w:val="24"/>
        </w:rPr>
        <w:t>Expression patterns of 5 selected prognostic biomarkers in high- and low-risk groups.</w:t>
      </w:r>
    </w:p>
    <w:p w14:paraId="77CF339B" w14:textId="726C9937" w:rsidR="00D36B44" w:rsidRPr="008E572A" w:rsidRDefault="00D36B44" w:rsidP="00202418">
      <w:pPr>
        <w:pStyle w:val="1"/>
        <w:numPr>
          <w:ilvl w:val="0"/>
          <w:numId w:val="21"/>
        </w:numPr>
        <w:spacing w:line="480" w:lineRule="auto"/>
      </w:pPr>
      <w:r w:rsidRPr="008E572A">
        <w:t xml:space="preserve">Supplementary Tables </w:t>
      </w:r>
    </w:p>
    <w:p w14:paraId="6F670980" w14:textId="21B576EA" w:rsidR="00390943" w:rsidRPr="008E572A" w:rsidRDefault="00F40994" w:rsidP="00202418">
      <w:pPr>
        <w:spacing w:line="480" w:lineRule="auto"/>
        <w:rPr>
          <w:szCs w:val="24"/>
        </w:rPr>
      </w:pPr>
      <w:r>
        <w:rPr>
          <w:b/>
          <w:szCs w:val="24"/>
        </w:rPr>
        <w:t>Table S1</w:t>
      </w:r>
      <w:r w:rsidR="00390943" w:rsidRPr="008E572A">
        <w:rPr>
          <w:szCs w:val="24"/>
        </w:rPr>
        <w:t>. The detailed information on the 160 PC patients from TCGA cohort.</w:t>
      </w:r>
    </w:p>
    <w:p w14:paraId="5EE45D5F" w14:textId="4CA7665E" w:rsidR="00390943" w:rsidRPr="008E572A" w:rsidRDefault="00F40994" w:rsidP="00202418">
      <w:pPr>
        <w:spacing w:line="480" w:lineRule="auto"/>
        <w:rPr>
          <w:szCs w:val="24"/>
        </w:rPr>
      </w:pPr>
      <w:r>
        <w:rPr>
          <w:b/>
          <w:szCs w:val="24"/>
        </w:rPr>
        <w:t>Table S2</w:t>
      </w:r>
      <w:r w:rsidR="00390943" w:rsidRPr="008E572A">
        <w:rPr>
          <w:b/>
          <w:szCs w:val="24"/>
        </w:rPr>
        <w:t xml:space="preserve">. </w:t>
      </w:r>
      <w:r w:rsidR="00390943" w:rsidRPr="008E572A">
        <w:rPr>
          <w:szCs w:val="24"/>
        </w:rPr>
        <w:t xml:space="preserve">The comprehensive landscape of CGs interactions, regulator connections, and their prognostic value in PC patients.  </w:t>
      </w:r>
    </w:p>
    <w:p w14:paraId="79DEF8AC" w14:textId="3DA4B717" w:rsidR="00390943" w:rsidRPr="008E572A" w:rsidRDefault="00F40994" w:rsidP="00202418">
      <w:pPr>
        <w:spacing w:line="480" w:lineRule="auto"/>
        <w:rPr>
          <w:szCs w:val="24"/>
        </w:rPr>
      </w:pPr>
      <w:r>
        <w:rPr>
          <w:b/>
          <w:szCs w:val="24"/>
        </w:rPr>
        <w:t>Table S3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GSVA enrichment analysis of the cuproptosis subtypes on TCGA</w:t>
      </w:r>
      <w:r w:rsidR="007A3A6A" w:rsidRPr="008E572A">
        <w:rPr>
          <w:szCs w:val="24"/>
        </w:rPr>
        <w:t xml:space="preserve"> cohort</w:t>
      </w:r>
      <w:r w:rsidR="00390943" w:rsidRPr="008E572A">
        <w:rPr>
          <w:szCs w:val="24"/>
        </w:rPr>
        <w:t xml:space="preserve">. </w:t>
      </w:r>
    </w:p>
    <w:p w14:paraId="79F6E5A7" w14:textId="656BDE32" w:rsidR="00390943" w:rsidRPr="008E572A" w:rsidRDefault="007E299E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Table S</w:t>
      </w:r>
      <w:r w:rsidR="00F40994">
        <w:rPr>
          <w:b/>
          <w:szCs w:val="24"/>
        </w:rPr>
        <w:t>4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224 cuproptosis subtype-related DEGs on TCGA cohort. </w:t>
      </w:r>
    </w:p>
    <w:p w14:paraId="0FD52B96" w14:textId="54162D13" w:rsidR="00390943" w:rsidRPr="008E572A" w:rsidRDefault="007E299E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Table S</w:t>
      </w:r>
      <w:r w:rsidR="00F40994">
        <w:rPr>
          <w:b/>
          <w:szCs w:val="24"/>
        </w:rPr>
        <w:t>5</w:t>
      </w:r>
      <w:r w:rsidR="00390943" w:rsidRPr="008E572A">
        <w:rPr>
          <w:b/>
          <w:szCs w:val="24"/>
        </w:rPr>
        <w:t xml:space="preserve">. </w:t>
      </w:r>
      <w:r w:rsidR="00390943" w:rsidRPr="008E572A">
        <w:rPr>
          <w:szCs w:val="24"/>
        </w:rPr>
        <w:t>161 cuproptosis subtype-related DEGs related to OS time on TCGA cohort.</w:t>
      </w:r>
    </w:p>
    <w:p w14:paraId="304F3A87" w14:textId="79CA02FC" w:rsidR="006B1428" w:rsidRPr="008E572A" w:rsidRDefault="00735C90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Table S</w:t>
      </w:r>
      <w:r w:rsidR="00F40994">
        <w:rPr>
          <w:b/>
          <w:szCs w:val="24"/>
        </w:rPr>
        <w:t>6</w:t>
      </w:r>
      <w:r w:rsidR="006B1428" w:rsidRPr="008E572A">
        <w:rPr>
          <w:b/>
          <w:szCs w:val="24"/>
        </w:rPr>
        <w:t>.</w:t>
      </w:r>
      <w:r w:rsidR="006B1428" w:rsidRPr="008E572A">
        <w:rPr>
          <w:szCs w:val="24"/>
        </w:rPr>
        <w:t xml:space="preserve"> Association of risk score with immune </w:t>
      </w:r>
      <w:r w:rsidR="006B1428" w:rsidRPr="008E572A">
        <w:rPr>
          <w:rFonts w:hint="eastAsia"/>
          <w:szCs w:val="24"/>
          <w:lang w:eastAsia="zh-CN"/>
        </w:rPr>
        <w:t>cell</w:t>
      </w:r>
      <w:r w:rsidR="006B1428" w:rsidRPr="008E572A">
        <w:rPr>
          <w:szCs w:val="24"/>
        </w:rPr>
        <w:t xml:space="preserve"> subtypes.</w:t>
      </w:r>
    </w:p>
    <w:p w14:paraId="7FF5CCF7" w14:textId="7D883AB1" w:rsidR="00390943" w:rsidRPr="008E572A" w:rsidRDefault="007E299E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Table S</w:t>
      </w:r>
      <w:r w:rsidR="00F40994">
        <w:rPr>
          <w:b/>
          <w:szCs w:val="24"/>
        </w:rPr>
        <w:t>7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29 drugs are highly susc</w:t>
      </w:r>
      <w:r w:rsidR="009C2C99" w:rsidRPr="008E572A">
        <w:rPr>
          <w:szCs w:val="24"/>
        </w:rPr>
        <w:t>eptible to patients with low risk</w:t>
      </w:r>
      <w:r w:rsidR="00390943" w:rsidRPr="008E572A">
        <w:rPr>
          <w:szCs w:val="24"/>
        </w:rPr>
        <w:t xml:space="preserve"> score.</w:t>
      </w:r>
    </w:p>
    <w:p w14:paraId="13C517C5" w14:textId="72D02C8D" w:rsidR="00390943" w:rsidRDefault="007E299E" w:rsidP="00202418">
      <w:pPr>
        <w:spacing w:line="480" w:lineRule="auto"/>
        <w:rPr>
          <w:szCs w:val="24"/>
        </w:rPr>
      </w:pPr>
      <w:r w:rsidRPr="008E572A">
        <w:rPr>
          <w:b/>
          <w:szCs w:val="24"/>
        </w:rPr>
        <w:t>Table S</w:t>
      </w:r>
      <w:r w:rsidR="00F40994">
        <w:rPr>
          <w:b/>
          <w:szCs w:val="24"/>
        </w:rPr>
        <w:t>8</w:t>
      </w:r>
      <w:r w:rsidR="00390943" w:rsidRPr="008E572A">
        <w:rPr>
          <w:b/>
          <w:szCs w:val="24"/>
        </w:rPr>
        <w:t>.</w:t>
      </w:r>
      <w:r w:rsidR="00390943" w:rsidRPr="008E572A">
        <w:rPr>
          <w:szCs w:val="24"/>
        </w:rPr>
        <w:t xml:space="preserve"> 54 drugs are highly susce</w:t>
      </w:r>
      <w:r w:rsidR="009C2C99" w:rsidRPr="008E572A">
        <w:rPr>
          <w:szCs w:val="24"/>
        </w:rPr>
        <w:t>ptible to patients with high risk</w:t>
      </w:r>
      <w:r w:rsidR="00390943" w:rsidRPr="008E572A">
        <w:rPr>
          <w:szCs w:val="24"/>
        </w:rPr>
        <w:t xml:space="preserve"> score.</w:t>
      </w:r>
    </w:p>
    <w:p w14:paraId="2EF36BF8" w14:textId="77777777" w:rsidR="00F40994" w:rsidRPr="008E572A" w:rsidRDefault="00F40994" w:rsidP="00F40994">
      <w:pPr>
        <w:spacing w:line="480" w:lineRule="auto"/>
        <w:rPr>
          <w:szCs w:val="24"/>
        </w:rPr>
      </w:pPr>
      <w:r w:rsidRPr="008E572A">
        <w:rPr>
          <w:b/>
          <w:szCs w:val="24"/>
        </w:rPr>
        <w:lastRenderedPageBreak/>
        <w:t>Table S</w:t>
      </w:r>
      <w:r>
        <w:rPr>
          <w:b/>
          <w:szCs w:val="24"/>
        </w:rPr>
        <w:t>9</w:t>
      </w:r>
      <w:r w:rsidRPr="008E572A">
        <w:rPr>
          <w:b/>
          <w:szCs w:val="24"/>
        </w:rPr>
        <w:t>.</w:t>
      </w:r>
      <w:r w:rsidRPr="008E572A">
        <w:rPr>
          <w:szCs w:val="24"/>
        </w:rPr>
        <w:t xml:space="preserve"> The primer sequence used in our study.</w:t>
      </w:r>
    </w:p>
    <w:p w14:paraId="374A0D77" w14:textId="77777777" w:rsidR="00F40994" w:rsidRPr="008E572A" w:rsidRDefault="00F40994" w:rsidP="00202418">
      <w:pPr>
        <w:spacing w:line="480" w:lineRule="auto"/>
        <w:rPr>
          <w:szCs w:val="24"/>
        </w:rPr>
      </w:pPr>
    </w:p>
    <w:p w14:paraId="7B65BC41" w14:textId="77777777" w:rsidR="00DE23E8" w:rsidRPr="008E572A" w:rsidRDefault="00DE23E8" w:rsidP="00202418">
      <w:pPr>
        <w:spacing w:before="240" w:line="480" w:lineRule="auto"/>
        <w:rPr>
          <w:szCs w:val="24"/>
        </w:rPr>
      </w:pPr>
    </w:p>
    <w:sectPr w:rsidR="00DE23E8" w:rsidRPr="008E572A" w:rsidSect="009342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2341A" w14:textId="77777777" w:rsidR="00216FB6" w:rsidRDefault="00216FB6" w:rsidP="00117666">
      <w:pPr>
        <w:spacing w:after="0"/>
      </w:pPr>
      <w:r>
        <w:separator/>
      </w:r>
    </w:p>
  </w:endnote>
  <w:endnote w:type="continuationSeparator" w:id="0">
    <w:p w14:paraId="304DD1B5" w14:textId="77777777" w:rsidR="00216FB6" w:rsidRDefault="00216FB6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3025F" w14:textId="2550DAFD" w:rsidR="00995F6A" w:rsidRPr="00577C4C" w:rsidRDefault="00216FB6">
    <w:pPr>
      <w:rPr>
        <w:color w:val="C00000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6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35BB5" w14:textId="77777777" w:rsidR="003C7BB0" w:rsidRDefault="003C7BB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A249F" w14:textId="77777777" w:rsidR="00216FB6" w:rsidRDefault="00216FB6" w:rsidP="00117666">
      <w:pPr>
        <w:spacing w:after="0"/>
      </w:pPr>
      <w:r>
        <w:separator/>
      </w:r>
    </w:p>
  </w:footnote>
  <w:footnote w:type="continuationSeparator" w:id="0">
    <w:p w14:paraId="784CBE68" w14:textId="77777777" w:rsidR="00216FB6" w:rsidRDefault="00216FB6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EF00C" w14:textId="04CDF9DB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C37D5" w14:textId="77777777" w:rsidR="003C7BB0" w:rsidRDefault="003C7BB0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D68C6" w14:textId="6AB41780" w:rsidR="00995F6A" w:rsidRDefault="00C52A7B" w:rsidP="0093429D"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0B34AB"/>
    <w:multiLevelType w:val="hybridMultilevel"/>
    <w:tmpl w:val="31341708"/>
    <w:lvl w:ilvl="0" w:tplc="77961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BB6A72"/>
    <w:multiLevelType w:val="hybridMultilevel"/>
    <w:tmpl w:val="FDFEACDC"/>
    <w:lvl w:ilvl="0" w:tplc="6EE6F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4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B5"/>
    <w:rsid w:val="0001436A"/>
    <w:rsid w:val="0003255F"/>
    <w:rsid w:val="00034304"/>
    <w:rsid w:val="00035434"/>
    <w:rsid w:val="00052A14"/>
    <w:rsid w:val="00077D53"/>
    <w:rsid w:val="000F0E0D"/>
    <w:rsid w:val="00105FD9"/>
    <w:rsid w:val="00117666"/>
    <w:rsid w:val="00147E17"/>
    <w:rsid w:val="001549D3"/>
    <w:rsid w:val="00160065"/>
    <w:rsid w:val="00177D84"/>
    <w:rsid w:val="00202418"/>
    <w:rsid w:val="00216FB6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90943"/>
    <w:rsid w:val="003C7BB0"/>
    <w:rsid w:val="003D2F2D"/>
    <w:rsid w:val="00401590"/>
    <w:rsid w:val="00401B00"/>
    <w:rsid w:val="00447801"/>
    <w:rsid w:val="00452E9C"/>
    <w:rsid w:val="004735C8"/>
    <w:rsid w:val="004947A6"/>
    <w:rsid w:val="004961FF"/>
    <w:rsid w:val="004E55ED"/>
    <w:rsid w:val="00517A89"/>
    <w:rsid w:val="005250F2"/>
    <w:rsid w:val="00593EEA"/>
    <w:rsid w:val="005A5EEE"/>
    <w:rsid w:val="005C3FA4"/>
    <w:rsid w:val="006375C7"/>
    <w:rsid w:val="00646DAD"/>
    <w:rsid w:val="00654E8F"/>
    <w:rsid w:val="00660D05"/>
    <w:rsid w:val="006820B1"/>
    <w:rsid w:val="006B1428"/>
    <w:rsid w:val="006B7D14"/>
    <w:rsid w:val="00701727"/>
    <w:rsid w:val="0070566C"/>
    <w:rsid w:val="00714C50"/>
    <w:rsid w:val="00725A7D"/>
    <w:rsid w:val="00735C90"/>
    <w:rsid w:val="007501BE"/>
    <w:rsid w:val="00790BB3"/>
    <w:rsid w:val="007A3A6A"/>
    <w:rsid w:val="007C206C"/>
    <w:rsid w:val="007E299E"/>
    <w:rsid w:val="00817DD6"/>
    <w:rsid w:val="0083759F"/>
    <w:rsid w:val="00885156"/>
    <w:rsid w:val="00893DF4"/>
    <w:rsid w:val="008E572A"/>
    <w:rsid w:val="009146E2"/>
    <w:rsid w:val="009151AA"/>
    <w:rsid w:val="0093429D"/>
    <w:rsid w:val="00943573"/>
    <w:rsid w:val="009612B5"/>
    <w:rsid w:val="00964134"/>
    <w:rsid w:val="00970F7D"/>
    <w:rsid w:val="00994A3D"/>
    <w:rsid w:val="009C2B12"/>
    <w:rsid w:val="009C2C99"/>
    <w:rsid w:val="00A174D9"/>
    <w:rsid w:val="00A42BA4"/>
    <w:rsid w:val="00AA4D24"/>
    <w:rsid w:val="00AB6715"/>
    <w:rsid w:val="00B1671E"/>
    <w:rsid w:val="00B25EB8"/>
    <w:rsid w:val="00B37F4D"/>
    <w:rsid w:val="00B53D80"/>
    <w:rsid w:val="00BD0684"/>
    <w:rsid w:val="00C10308"/>
    <w:rsid w:val="00C52A7B"/>
    <w:rsid w:val="00C56BAF"/>
    <w:rsid w:val="00C679AA"/>
    <w:rsid w:val="00C75972"/>
    <w:rsid w:val="00CD066B"/>
    <w:rsid w:val="00CE4FEE"/>
    <w:rsid w:val="00D060CF"/>
    <w:rsid w:val="00D36B44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D20B5"/>
    <w:rsid w:val="00F2161E"/>
    <w:rsid w:val="00F40994"/>
    <w:rsid w:val="00F46900"/>
    <w:rsid w:val="00F61D89"/>
    <w:rsid w:val="00F6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2">
    <w:name w:val="heading 2"/>
    <w:basedOn w:val="1"/>
    <w:next w:val="a0"/>
    <w:link w:val="20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3">
    <w:name w:val="heading 3"/>
    <w:basedOn w:val="a0"/>
    <w:next w:val="a0"/>
    <w:link w:val="30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3"/>
    <w:next w:val="a0"/>
    <w:link w:val="40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5">
    <w:name w:val="heading 5"/>
    <w:basedOn w:val="4"/>
    <w:next w:val="a0"/>
    <w:link w:val="50"/>
    <w:uiPriority w:val="2"/>
    <w:qFormat/>
    <w:rsid w:val="00AB6715"/>
    <w:pPr>
      <w:numPr>
        <w:ilvl w:val="4"/>
      </w:numPr>
      <w:outlineLvl w:val="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20">
    <w:name w:val="标题 2 字符"/>
    <w:basedOn w:val="a1"/>
    <w:link w:val="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a4">
    <w:name w:val="Subtitle"/>
    <w:basedOn w:val="a0"/>
    <w:next w:val="a0"/>
    <w:link w:val="a5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a5">
    <w:name w:val="副标题 字符"/>
    <w:basedOn w:val="a1"/>
    <w:link w:val="a4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a4"/>
    <w:next w:val="a0"/>
    <w:uiPriority w:val="1"/>
    <w:qFormat/>
    <w:rsid w:val="00AB6715"/>
  </w:style>
  <w:style w:type="paragraph" w:styleId="a6">
    <w:name w:val="Balloon Text"/>
    <w:basedOn w:val="a0"/>
    <w:link w:val="a7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1"/>
    <w:link w:val="a6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a8">
    <w:name w:val="Book Title"/>
    <w:basedOn w:val="a1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a9">
    <w:name w:val="caption"/>
    <w:basedOn w:val="a0"/>
    <w:next w:val="aa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aa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ab">
    <w:name w:val="annotation reference"/>
    <w:basedOn w:val="a1"/>
    <w:uiPriority w:val="99"/>
    <w:semiHidden/>
    <w:unhideWhenUsed/>
    <w:rsid w:val="00AB6715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B6715"/>
    <w:rPr>
      <w:sz w:val="20"/>
      <w:szCs w:val="20"/>
    </w:rPr>
  </w:style>
  <w:style w:type="character" w:customStyle="1" w:styleId="ad">
    <w:name w:val="批注文字 字符"/>
    <w:basedOn w:val="a1"/>
    <w:link w:val="ac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B6715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af0">
    <w:name w:val="Emphasis"/>
    <w:basedOn w:val="a1"/>
    <w:uiPriority w:val="20"/>
    <w:qFormat/>
    <w:rsid w:val="00AB6715"/>
    <w:rPr>
      <w:rFonts w:ascii="Times New Roman" w:hAnsi="Times New Roman"/>
      <w:i/>
      <w:iCs/>
    </w:rPr>
  </w:style>
  <w:style w:type="character" w:styleId="af1">
    <w:name w:val="endnote reference"/>
    <w:basedOn w:val="a1"/>
    <w:uiPriority w:val="99"/>
    <w:semiHidden/>
    <w:unhideWhenUsed/>
    <w:rsid w:val="00AB6715"/>
    <w:rPr>
      <w:vertAlign w:val="superscript"/>
    </w:rPr>
  </w:style>
  <w:style w:type="paragraph" w:styleId="af2">
    <w:name w:val="endnote text"/>
    <w:basedOn w:val="a0"/>
    <w:link w:val="af3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3">
    <w:name w:val="尾注文本 字符"/>
    <w:basedOn w:val="a1"/>
    <w:link w:val="af2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af4">
    <w:name w:val="FollowedHyperlink"/>
    <w:basedOn w:val="a1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af5">
    <w:name w:val="footer"/>
    <w:basedOn w:val="a0"/>
    <w:link w:val="af6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af6">
    <w:name w:val="页脚 字符"/>
    <w:basedOn w:val="a1"/>
    <w:link w:val="af5"/>
    <w:uiPriority w:val="99"/>
    <w:rsid w:val="00AB6715"/>
    <w:rPr>
      <w:rFonts w:ascii="Times New Roman" w:hAnsi="Times New Roman"/>
      <w:sz w:val="24"/>
    </w:rPr>
  </w:style>
  <w:style w:type="character" w:styleId="af7">
    <w:name w:val="footnote reference"/>
    <w:basedOn w:val="a1"/>
    <w:uiPriority w:val="99"/>
    <w:semiHidden/>
    <w:unhideWhenUsed/>
    <w:rsid w:val="00AB6715"/>
    <w:rPr>
      <w:vertAlign w:val="superscript"/>
    </w:rPr>
  </w:style>
  <w:style w:type="paragraph" w:styleId="af8">
    <w:name w:val="footnote text"/>
    <w:basedOn w:val="a0"/>
    <w:link w:val="af9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af9">
    <w:name w:val="脚注文本 字符"/>
    <w:basedOn w:val="a1"/>
    <w:link w:val="af8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afa">
    <w:name w:val="header"/>
    <w:basedOn w:val="a0"/>
    <w:link w:val="afb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afb">
    <w:name w:val="页眉 字符"/>
    <w:basedOn w:val="a1"/>
    <w:link w:val="afa"/>
    <w:uiPriority w:val="99"/>
    <w:rsid w:val="00AB6715"/>
    <w:rPr>
      <w:rFonts w:ascii="Times New Roman" w:hAnsi="Times New Roman"/>
      <w:b/>
      <w:sz w:val="24"/>
    </w:rPr>
  </w:style>
  <w:style w:type="paragraph" w:styleId="a">
    <w:name w:val="List Paragraph"/>
    <w:basedOn w:val="a0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afc">
    <w:name w:val="Hyperlink"/>
    <w:basedOn w:val="a1"/>
    <w:uiPriority w:val="99"/>
    <w:unhideWhenUsed/>
    <w:rsid w:val="00AB6715"/>
    <w:rPr>
      <w:color w:val="0000FF"/>
      <w:u w:val="single"/>
    </w:rPr>
  </w:style>
  <w:style w:type="character" w:styleId="afd">
    <w:name w:val="Intense Emphasis"/>
    <w:basedOn w:val="a1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afe">
    <w:name w:val="Intense Reference"/>
    <w:basedOn w:val="a1"/>
    <w:uiPriority w:val="32"/>
    <w:qFormat/>
    <w:rsid w:val="00AB6715"/>
    <w:rPr>
      <w:b/>
      <w:bCs/>
      <w:smallCaps/>
      <w:color w:val="auto"/>
      <w:spacing w:val="5"/>
    </w:rPr>
  </w:style>
  <w:style w:type="character" w:styleId="aff">
    <w:name w:val="line number"/>
    <w:basedOn w:val="a1"/>
    <w:uiPriority w:val="99"/>
    <w:semiHidden/>
    <w:unhideWhenUsed/>
    <w:rsid w:val="00AB6715"/>
  </w:style>
  <w:style w:type="character" w:customStyle="1" w:styleId="30">
    <w:name w:val="标题 3 字符"/>
    <w:basedOn w:val="a1"/>
    <w:link w:val="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40">
    <w:name w:val="标题 4 字符"/>
    <w:basedOn w:val="a1"/>
    <w:link w:val="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50">
    <w:name w:val="标题 5 字符"/>
    <w:basedOn w:val="a1"/>
    <w:link w:val="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aff0">
    <w:name w:val="Normal (Web)"/>
    <w:basedOn w:val="a0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aff1">
    <w:name w:val="Quote"/>
    <w:basedOn w:val="a0"/>
    <w:next w:val="a0"/>
    <w:link w:val="aff2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引用 字符"/>
    <w:basedOn w:val="a1"/>
    <w:link w:val="aff1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aff3">
    <w:name w:val="Strong"/>
    <w:basedOn w:val="a1"/>
    <w:uiPriority w:val="22"/>
    <w:qFormat/>
    <w:rsid w:val="00AB6715"/>
    <w:rPr>
      <w:rFonts w:ascii="Times New Roman" w:hAnsi="Times New Roman"/>
      <w:b/>
      <w:bCs/>
    </w:rPr>
  </w:style>
  <w:style w:type="character" w:styleId="aff4">
    <w:name w:val="Subtle Emphasis"/>
    <w:basedOn w:val="a1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aff5">
    <w:name w:val="Table Grid"/>
    <w:basedOn w:val="a2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itle"/>
    <w:basedOn w:val="a0"/>
    <w:next w:val="a0"/>
    <w:link w:val="aff7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aff7">
    <w:name w:val="标题 字符"/>
    <w:basedOn w:val="a1"/>
    <w:link w:val="aff6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aff6"/>
    <w:next w:val="aff6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AE4E917-8834-4CE3-BCD6-C1B43F0A1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29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玉</cp:lastModifiedBy>
  <cp:revision>23</cp:revision>
  <cp:lastPrinted>2013-10-03T12:51:00Z</cp:lastPrinted>
  <dcterms:created xsi:type="dcterms:W3CDTF">2018-11-23T08:58:00Z</dcterms:created>
  <dcterms:modified xsi:type="dcterms:W3CDTF">2022-11-01T05:55:00Z</dcterms:modified>
</cp:coreProperties>
</file>